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A1" w:rsidRPr="00982E93" w:rsidRDefault="00BF09A1" w:rsidP="00BF09A1">
      <w:pPr>
        <w:jc w:val="center"/>
        <w:rPr>
          <w:rFonts w:ascii="Cambria" w:hAnsi="Cambria"/>
          <w:b/>
          <w:sz w:val="24"/>
          <w:szCs w:val="24"/>
          <w:u w:val="single"/>
        </w:rPr>
      </w:pPr>
      <w:r w:rsidRPr="00982E93">
        <w:rPr>
          <w:rFonts w:ascii="Cambria" w:hAnsi="Cambria"/>
          <w:b/>
          <w:sz w:val="24"/>
          <w:szCs w:val="24"/>
          <w:u w:val="single"/>
        </w:rPr>
        <w:t>FAMILIRIZATION PROGRAMMES FOR INDEPENDENT DIRECTORS</w:t>
      </w:r>
    </w:p>
    <w:p w:rsidR="00BF09A1" w:rsidRPr="00982E93" w:rsidRDefault="00440BD9" w:rsidP="00440BD9">
      <w:pPr>
        <w:shd w:val="clear" w:color="auto" w:fill="AEAAAA" w:themeFill="background2" w:themeFillShade="BF"/>
        <w:rPr>
          <w:rFonts w:ascii="Cambria" w:hAnsi="Cambria"/>
          <w:b/>
          <w:sz w:val="24"/>
          <w:szCs w:val="24"/>
          <w:u w:val="single"/>
        </w:rPr>
      </w:pPr>
      <w:r w:rsidRPr="00982E93">
        <w:rPr>
          <w:rFonts w:ascii="Cambria" w:hAnsi="Cambria"/>
          <w:b/>
          <w:sz w:val="24"/>
          <w:szCs w:val="24"/>
          <w:u w:val="single"/>
        </w:rPr>
        <w:t>BACKGROUND:</w:t>
      </w:r>
    </w:p>
    <w:p w:rsidR="00BF09A1" w:rsidRPr="00982E93" w:rsidRDefault="00BF09A1" w:rsidP="00BF09A1">
      <w:pPr>
        <w:tabs>
          <w:tab w:val="left" w:pos="2783"/>
        </w:tabs>
        <w:jc w:val="both"/>
        <w:rPr>
          <w:rFonts w:ascii="Cambria" w:hAnsi="Cambria"/>
          <w:sz w:val="24"/>
          <w:szCs w:val="24"/>
        </w:rPr>
      </w:pPr>
      <w:r w:rsidRPr="00982E93">
        <w:rPr>
          <w:rFonts w:ascii="Cambria" w:hAnsi="Cambria"/>
          <w:sz w:val="24"/>
          <w:szCs w:val="24"/>
        </w:rPr>
        <w:t>Regulation 25 (7) of SEBI (Listing Obligations and Disclosure Requirements) Regulations, 2015 (Listing Regulations) mandates that every listed company shall familiarize the Independent Directors through various programmes including following:</w:t>
      </w:r>
    </w:p>
    <w:p w:rsidR="00BF09A1" w:rsidRPr="00982E93" w:rsidRDefault="0056525E" w:rsidP="00BF09A1">
      <w:pPr>
        <w:pStyle w:val="ListParagraph"/>
        <w:numPr>
          <w:ilvl w:val="0"/>
          <w:numId w:val="1"/>
        </w:numPr>
        <w:tabs>
          <w:tab w:val="left" w:pos="2783"/>
        </w:tabs>
        <w:jc w:val="both"/>
        <w:rPr>
          <w:rFonts w:ascii="Cambria" w:hAnsi="Cambria"/>
          <w:sz w:val="24"/>
          <w:szCs w:val="24"/>
        </w:rPr>
      </w:pPr>
      <w:r w:rsidRPr="00982E93">
        <w:rPr>
          <w:rFonts w:ascii="Cambria" w:hAnsi="Cambria"/>
          <w:sz w:val="24"/>
          <w:szCs w:val="24"/>
        </w:rPr>
        <w:t xml:space="preserve">Nature </w:t>
      </w:r>
      <w:r w:rsidR="00BF09A1" w:rsidRPr="00982E93">
        <w:rPr>
          <w:rFonts w:ascii="Cambria" w:hAnsi="Cambria"/>
          <w:sz w:val="24"/>
          <w:szCs w:val="24"/>
        </w:rPr>
        <w:t>of the industr</w:t>
      </w:r>
      <w:bookmarkStart w:id="0" w:name="_GoBack"/>
      <w:bookmarkEnd w:id="0"/>
      <w:r w:rsidR="00BF09A1" w:rsidRPr="00982E93">
        <w:rPr>
          <w:rFonts w:ascii="Cambria" w:hAnsi="Cambria"/>
          <w:sz w:val="24"/>
          <w:szCs w:val="24"/>
        </w:rPr>
        <w:t xml:space="preserve">y in which the listed company operates; </w:t>
      </w:r>
    </w:p>
    <w:p w:rsidR="00BF09A1" w:rsidRPr="00982E93" w:rsidRDefault="0056525E" w:rsidP="00BF09A1">
      <w:pPr>
        <w:pStyle w:val="ListParagraph"/>
        <w:numPr>
          <w:ilvl w:val="0"/>
          <w:numId w:val="1"/>
        </w:numPr>
        <w:tabs>
          <w:tab w:val="left" w:pos="2783"/>
        </w:tabs>
        <w:jc w:val="both"/>
        <w:rPr>
          <w:rFonts w:ascii="Cambria" w:hAnsi="Cambria"/>
          <w:sz w:val="24"/>
          <w:szCs w:val="24"/>
        </w:rPr>
      </w:pPr>
      <w:r w:rsidRPr="00982E93">
        <w:rPr>
          <w:rFonts w:ascii="Cambria" w:hAnsi="Cambria"/>
          <w:sz w:val="24"/>
          <w:szCs w:val="24"/>
        </w:rPr>
        <w:t xml:space="preserve">Business </w:t>
      </w:r>
      <w:r w:rsidR="00BF09A1" w:rsidRPr="00982E93">
        <w:rPr>
          <w:rFonts w:ascii="Cambria" w:hAnsi="Cambria"/>
          <w:sz w:val="24"/>
          <w:szCs w:val="24"/>
        </w:rPr>
        <w:t xml:space="preserve">model of listed company; </w:t>
      </w:r>
    </w:p>
    <w:p w:rsidR="00BF09A1" w:rsidRPr="00982E93" w:rsidRDefault="0056525E" w:rsidP="00BF09A1">
      <w:pPr>
        <w:pStyle w:val="ListParagraph"/>
        <w:numPr>
          <w:ilvl w:val="0"/>
          <w:numId w:val="1"/>
        </w:numPr>
        <w:tabs>
          <w:tab w:val="left" w:pos="2783"/>
        </w:tabs>
        <w:jc w:val="both"/>
        <w:rPr>
          <w:rFonts w:ascii="Cambria" w:hAnsi="Cambria"/>
          <w:sz w:val="24"/>
          <w:szCs w:val="24"/>
        </w:rPr>
      </w:pPr>
      <w:r w:rsidRPr="00982E93">
        <w:rPr>
          <w:rFonts w:ascii="Cambria" w:hAnsi="Cambria"/>
          <w:sz w:val="24"/>
          <w:szCs w:val="24"/>
        </w:rPr>
        <w:t>Roles</w:t>
      </w:r>
      <w:r w:rsidR="00BF09A1" w:rsidRPr="00982E93">
        <w:rPr>
          <w:rFonts w:ascii="Cambria" w:hAnsi="Cambria"/>
          <w:sz w:val="24"/>
          <w:szCs w:val="24"/>
        </w:rPr>
        <w:t xml:space="preserve">, rights, responsibilities of Independent Directors; and </w:t>
      </w:r>
    </w:p>
    <w:p w:rsidR="00BF09A1" w:rsidRPr="00982E93" w:rsidRDefault="0056525E" w:rsidP="00BF09A1">
      <w:pPr>
        <w:pStyle w:val="ListParagraph"/>
        <w:numPr>
          <w:ilvl w:val="0"/>
          <w:numId w:val="1"/>
        </w:numPr>
        <w:tabs>
          <w:tab w:val="left" w:pos="2783"/>
        </w:tabs>
        <w:jc w:val="both"/>
        <w:rPr>
          <w:rFonts w:ascii="Cambria" w:hAnsi="Cambria"/>
          <w:sz w:val="24"/>
          <w:szCs w:val="24"/>
        </w:rPr>
      </w:pPr>
      <w:r w:rsidRPr="00982E93">
        <w:rPr>
          <w:rFonts w:ascii="Cambria" w:hAnsi="Cambria"/>
          <w:sz w:val="24"/>
          <w:szCs w:val="24"/>
        </w:rPr>
        <w:t xml:space="preserve">Any </w:t>
      </w:r>
      <w:r w:rsidR="00BF09A1" w:rsidRPr="00982E93">
        <w:rPr>
          <w:rFonts w:ascii="Cambria" w:hAnsi="Cambria"/>
          <w:sz w:val="24"/>
          <w:szCs w:val="24"/>
        </w:rPr>
        <w:t>other relevant information.</w:t>
      </w:r>
    </w:p>
    <w:p w:rsidR="00BF09A1" w:rsidRPr="00982E93" w:rsidRDefault="00BF09A1" w:rsidP="00BF09A1">
      <w:pPr>
        <w:tabs>
          <w:tab w:val="left" w:pos="2783"/>
        </w:tabs>
        <w:jc w:val="both"/>
        <w:rPr>
          <w:rFonts w:ascii="Cambria" w:hAnsi="Cambria"/>
          <w:sz w:val="24"/>
          <w:szCs w:val="24"/>
        </w:rPr>
      </w:pPr>
      <w:r w:rsidRPr="00982E93">
        <w:rPr>
          <w:rFonts w:ascii="Cambria" w:hAnsi="Cambria"/>
          <w:sz w:val="24"/>
          <w:szCs w:val="24"/>
        </w:rPr>
        <w:t>Further, as per Regulation 46 (2) (</w:t>
      </w:r>
      <w:proofErr w:type="spellStart"/>
      <w:r w:rsidRPr="00982E93">
        <w:rPr>
          <w:rFonts w:ascii="Cambria" w:hAnsi="Cambria"/>
          <w:sz w:val="24"/>
          <w:szCs w:val="24"/>
        </w:rPr>
        <w:t>i</w:t>
      </w:r>
      <w:proofErr w:type="spellEnd"/>
      <w:r w:rsidRPr="00982E93">
        <w:rPr>
          <w:rFonts w:ascii="Cambria" w:hAnsi="Cambria"/>
          <w:sz w:val="24"/>
          <w:szCs w:val="24"/>
        </w:rPr>
        <w:t xml:space="preserve">) of the Listing Regulations, the listed company shall disseminate the details of familiarization programmes imparted to Independent Directors including the following details: </w:t>
      </w:r>
    </w:p>
    <w:p w:rsidR="00BF09A1" w:rsidRPr="00982E93" w:rsidRDefault="00BF09A1" w:rsidP="00BF09A1">
      <w:pPr>
        <w:pStyle w:val="ListParagraph"/>
        <w:numPr>
          <w:ilvl w:val="1"/>
          <w:numId w:val="2"/>
        </w:numPr>
        <w:tabs>
          <w:tab w:val="left" w:pos="2783"/>
        </w:tabs>
        <w:ind w:left="450" w:hanging="90"/>
        <w:jc w:val="both"/>
        <w:rPr>
          <w:rFonts w:ascii="Cambria" w:hAnsi="Cambria"/>
          <w:sz w:val="24"/>
          <w:szCs w:val="24"/>
        </w:rPr>
      </w:pPr>
      <w:r w:rsidRPr="00982E93">
        <w:rPr>
          <w:rFonts w:ascii="Cambria" w:hAnsi="Cambria"/>
          <w:sz w:val="24"/>
          <w:szCs w:val="24"/>
        </w:rPr>
        <w:t xml:space="preserve">Number of programmes attended by Independent Directors (during the year and on cumulative basis till date). </w:t>
      </w:r>
    </w:p>
    <w:p w:rsidR="00BF09A1" w:rsidRPr="00982E93" w:rsidRDefault="0056525E" w:rsidP="00BF09A1">
      <w:pPr>
        <w:pStyle w:val="ListParagraph"/>
        <w:numPr>
          <w:ilvl w:val="1"/>
          <w:numId w:val="2"/>
        </w:numPr>
        <w:tabs>
          <w:tab w:val="left" w:pos="2783"/>
        </w:tabs>
        <w:ind w:left="450" w:hanging="90"/>
        <w:jc w:val="both"/>
        <w:rPr>
          <w:rFonts w:ascii="Cambria" w:hAnsi="Cambria"/>
          <w:sz w:val="24"/>
          <w:szCs w:val="24"/>
        </w:rPr>
      </w:pPr>
      <w:r w:rsidRPr="00982E93">
        <w:rPr>
          <w:rFonts w:ascii="Cambria" w:hAnsi="Cambria"/>
          <w:sz w:val="24"/>
          <w:szCs w:val="24"/>
        </w:rPr>
        <w:t xml:space="preserve">Number </w:t>
      </w:r>
      <w:r w:rsidR="00BF09A1" w:rsidRPr="00982E93">
        <w:rPr>
          <w:rFonts w:ascii="Cambria" w:hAnsi="Cambria"/>
          <w:sz w:val="24"/>
          <w:szCs w:val="24"/>
        </w:rPr>
        <w:t>of hours spent by Independent Directors in such programmes (during the year and on cumulative basis till date).</w:t>
      </w:r>
    </w:p>
    <w:p w:rsidR="00BF09A1" w:rsidRPr="00982E93" w:rsidRDefault="00BF09A1" w:rsidP="00BF09A1">
      <w:pPr>
        <w:pStyle w:val="ListParagraph"/>
        <w:numPr>
          <w:ilvl w:val="1"/>
          <w:numId w:val="2"/>
        </w:numPr>
        <w:tabs>
          <w:tab w:val="left" w:pos="2783"/>
        </w:tabs>
        <w:ind w:left="450" w:hanging="90"/>
        <w:jc w:val="both"/>
        <w:rPr>
          <w:rFonts w:ascii="Cambria" w:hAnsi="Cambria"/>
          <w:sz w:val="24"/>
          <w:szCs w:val="24"/>
        </w:rPr>
      </w:pPr>
      <w:r w:rsidRPr="00982E93">
        <w:rPr>
          <w:rFonts w:ascii="Cambria" w:hAnsi="Cambria"/>
          <w:sz w:val="24"/>
          <w:szCs w:val="24"/>
        </w:rPr>
        <w:t xml:space="preserve">Other relevant details. </w:t>
      </w:r>
    </w:p>
    <w:p w:rsidR="00BF09A1" w:rsidRPr="00982E93" w:rsidRDefault="00440BD9" w:rsidP="00440BD9">
      <w:pPr>
        <w:shd w:val="clear" w:color="auto" w:fill="AEAAAA" w:themeFill="background2" w:themeFillShade="BF"/>
        <w:rPr>
          <w:rFonts w:ascii="Cambria" w:hAnsi="Cambria"/>
          <w:b/>
          <w:sz w:val="24"/>
          <w:szCs w:val="24"/>
          <w:u w:val="single"/>
        </w:rPr>
      </w:pPr>
      <w:r w:rsidRPr="00982E93">
        <w:rPr>
          <w:rFonts w:ascii="Cambria" w:hAnsi="Cambria"/>
          <w:b/>
          <w:sz w:val="24"/>
          <w:szCs w:val="24"/>
          <w:u w:val="single"/>
        </w:rPr>
        <w:t>DETAILS OF FAMILIRIZATION PROGRAMMES</w:t>
      </w:r>
    </w:p>
    <w:p w:rsidR="00BF09A1" w:rsidRPr="00982E93" w:rsidRDefault="00BF09A1" w:rsidP="00BF09A1">
      <w:pPr>
        <w:tabs>
          <w:tab w:val="left" w:pos="2783"/>
        </w:tabs>
        <w:jc w:val="both"/>
        <w:rPr>
          <w:rFonts w:ascii="Cambria" w:hAnsi="Cambria"/>
          <w:sz w:val="24"/>
          <w:szCs w:val="24"/>
        </w:rPr>
      </w:pPr>
      <w:r w:rsidRPr="00982E93">
        <w:rPr>
          <w:rFonts w:ascii="Cambria" w:hAnsi="Cambria"/>
          <w:sz w:val="24"/>
          <w:szCs w:val="24"/>
        </w:rPr>
        <w:t>PVP Ventures Limited (the Company) has an on-going familiarization programme for all its Directors including Independent Directors which includes the following:</w:t>
      </w:r>
    </w:p>
    <w:p w:rsidR="00BF09A1" w:rsidRPr="00982E93" w:rsidRDefault="00BF09A1" w:rsidP="00BF09A1">
      <w:pPr>
        <w:pStyle w:val="ListParagraph"/>
        <w:numPr>
          <w:ilvl w:val="0"/>
          <w:numId w:val="3"/>
        </w:numPr>
        <w:tabs>
          <w:tab w:val="left" w:pos="2783"/>
        </w:tabs>
        <w:ind w:left="270" w:hanging="270"/>
        <w:jc w:val="both"/>
        <w:rPr>
          <w:rFonts w:ascii="Cambria" w:hAnsi="Cambria"/>
          <w:sz w:val="24"/>
          <w:szCs w:val="24"/>
        </w:rPr>
      </w:pPr>
      <w:r w:rsidRPr="0056525E">
        <w:rPr>
          <w:rFonts w:ascii="Cambria" w:hAnsi="Cambria"/>
          <w:b/>
          <w:sz w:val="24"/>
          <w:szCs w:val="24"/>
          <w:u w:val="single"/>
        </w:rPr>
        <w:t>Initial familiarization</w:t>
      </w:r>
      <w:r w:rsidRPr="00982E93">
        <w:rPr>
          <w:rFonts w:ascii="Cambria" w:hAnsi="Cambria"/>
          <w:sz w:val="24"/>
          <w:szCs w:val="24"/>
        </w:rPr>
        <w:t>:</w:t>
      </w:r>
    </w:p>
    <w:p w:rsidR="00440BD9" w:rsidRPr="00982E93" w:rsidRDefault="00BF09A1" w:rsidP="0056525E">
      <w:pPr>
        <w:tabs>
          <w:tab w:val="left" w:pos="2783"/>
        </w:tabs>
        <w:ind w:left="270"/>
        <w:jc w:val="both"/>
        <w:rPr>
          <w:rFonts w:ascii="Cambria" w:hAnsi="Cambria"/>
          <w:sz w:val="24"/>
          <w:szCs w:val="24"/>
        </w:rPr>
      </w:pPr>
      <w:r w:rsidRPr="00982E93">
        <w:rPr>
          <w:rFonts w:ascii="Cambria" w:hAnsi="Cambria"/>
          <w:sz w:val="24"/>
          <w:szCs w:val="24"/>
        </w:rPr>
        <w:t xml:space="preserve">The Independent Directors are provided with an overview of the requisite criteria of independence, roles, rights, duties and responsibilities of directors, terms of appointment, the code of conduct and insider trading regulations, disclosure and business interests, nature of the industry and business model of the Company and policies of the Company and other important regulatory aspects as relevant for directors. </w:t>
      </w:r>
    </w:p>
    <w:p w:rsidR="00440BD9" w:rsidRPr="00982E93" w:rsidRDefault="00BF09A1" w:rsidP="00440BD9">
      <w:pPr>
        <w:pStyle w:val="ListParagraph"/>
        <w:numPr>
          <w:ilvl w:val="0"/>
          <w:numId w:val="3"/>
        </w:numPr>
        <w:tabs>
          <w:tab w:val="left" w:pos="2783"/>
        </w:tabs>
        <w:ind w:left="270" w:hanging="270"/>
        <w:jc w:val="both"/>
        <w:rPr>
          <w:rFonts w:ascii="Cambria" w:hAnsi="Cambria"/>
          <w:sz w:val="24"/>
          <w:szCs w:val="24"/>
        </w:rPr>
      </w:pPr>
      <w:r w:rsidRPr="0056525E">
        <w:rPr>
          <w:rFonts w:ascii="Cambria" w:hAnsi="Cambria"/>
          <w:b/>
          <w:sz w:val="24"/>
          <w:szCs w:val="24"/>
          <w:u w:val="single"/>
        </w:rPr>
        <w:t>Ongoing familiarization</w:t>
      </w:r>
      <w:r w:rsidR="00440BD9" w:rsidRPr="00982E93">
        <w:rPr>
          <w:rFonts w:ascii="Cambria" w:hAnsi="Cambria"/>
          <w:sz w:val="24"/>
          <w:szCs w:val="24"/>
        </w:rPr>
        <w:t>:</w:t>
      </w:r>
    </w:p>
    <w:p w:rsidR="0056525E" w:rsidRDefault="00BF09A1" w:rsidP="0056525E">
      <w:pPr>
        <w:tabs>
          <w:tab w:val="left" w:pos="2783"/>
        </w:tabs>
        <w:ind w:left="270"/>
        <w:jc w:val="both"/>
        <w:rPr>
          <w:rFonts w:ascii="Cambria" w:hAnsi="Cambria"/>
          <w:sz w:val="24"/>
          <w:szCs w:val="24"/>
        </w:rPr>
      </w:pPr>
      <w:r w:rsidRPr="00982E93">
        <w:rPr>
          <w:rFonts w:ascii="Cambria" w:hAnsi="Cambria"/>
          <w:sz w:val="24"/>
          <w:szCs w:val="24"/>
        </w:rPr>
        <w:t xml:space="preserve">The Independent Directors are apprised at Board Meetings through its Managing Director and/or </w:t>
      </w:r>
      <w:proofErr w:type="spellStart"/>
      <w:r w:rsidRPr="00982E93">
        <w:rPr>
          <w:rFonts w:ascii="Cambria" w:hAnsi="Cambria"/>
          <w:sz w:val="24"/>
          <w:szCs w:val="24"/>
        </w:rPr>
        <w:t>Wholetime</w:t>
      </w:r>
      <w:proofErr w:type="spellEnd"/>
      <w:r w:rsidRPr="00982E93">
        <w:rPr>
          <w:rFonts w:ascii="Cambria" w:hAnsi="Cambria"/>
          <w:sz w:val="24"/>
          <w:szCs w:val="24"/>
        </w:rPr>
        <w:t xml:space="preserve"> Director as well as other Senior Managerial Personnel on the Company operations, governance, internal control processes and other relevant matters.</w:t>
      </w:r>
      <w:r w:rsidR="00440BD9" w:rsidRPr="00982E93">
        <w:rPr>
          <w:rFonts w:ascii="Cambria" w:hAnsi="Cambria"/>
          <w:sz w:val="24"/>
          <w:szCs w:val="24"/>
        </w:rPr>
        <w:t xml:space="preserve"> The Independent Directors are also members of various Committees and at each Committee meeting, they are presented with the necessary information to enable them to review and</w:t>
      </w:r>
      <w:r w:rsidR="00982E93" w:rsidRPr="00982E93">
        <w:rPr>
          <w:rFonts w:ascii="Cambria" w:hAnsi="Cambria"/>
          <w:sz w:val="24"/>
          <w:szCs w:val="24"/>
        </w:rPr>
        <w:t xml:space="preserve"> </w:t>
      </w:r>
      <w:r w:rsidR="00440BD9" w:rsidRPr="00982E93">
        <w:rPr>
          <w:rFonts w:ascii="Cambria" w:hAnsi="Cambria"/>
          <w:sz w:val="24"/>
          <w:szCs w:val="24"/>
        </w:rPr>
        <w:t>grant approvals as per the terms of reference of the Committee.</w:t>
      </w:r>
      <w:r w:rsidRPr="00982E93">
        <w:rPr>
          <w:rFonts w:ascii="Cambria" w:hAnsi="Cambria"/>
          <w:sz w:val="24"/>
          <w:szCs w:val="24"/>
        </w:rPr>
        <w:t xml:space="preserve"> They are also updated on important changes in the regulatory framework and business environment having an impact on the Company.</w:t>
      </w:r>
    </w:p>
    <w:p w:rsidR="00440BD9" w:rsidRPr="00982E93" w:rsidRDefault="00BF09A1" w:rsidP="0056525E">
      <w:pPr>
        <w:tabs>
          <w:tab w:val="left" w:pos="2783"/>
        </w:tabs>
        <w:ind w:left="270"/>
        <w:jc w:val="both"/>
        <w:rPr>
          <w:rFonts w:ascii="Cambria" w:hAnsi="Cambria"/>
          <w:sz w:val="24"/>
          <w:szCs w:val="24"/>
        </w:rPr>
      </w:pPr>
      <w:r w:rsidRPr="00982E93">
        <w:rPr>
          <w:rFonts w:ascii="Cambria" w:hAnsi="Cambria"/>
          <w:sz w:val="24"/>
          <w:szCs w:val="24"/>
        </w:rPr>
        <w:t xml:space="preserve"> </w:t>
      </w:r>
    </w:p>
    <w:p w:rsidR="00982E93" w:rsidRPr="00982E93" w:rsidRDefault="00982E93" w:rsidP="00982E93">
      <w:pPr>
        <w:shd w:val="clear" w:color="auto" w:fill="AEAAAA" w:themeFill="background2" w:themeFillShade="BF"/>
        <w:rPr>
          <w:rFonts w:ascii="Cambria" w:hAnsi="Cambria"/>
          <w:b/>
          <w:sz w:val="24"/>
          <w:szCs w:val="24"/>
          <w:u w:val="single"/>
        </w:rPr>
      </w:pPr>
      <w:r w:rsidRPr="00982E93">
        <w:rPr>
          <w:rFonts w:ascii="Cambria" w:hAnsi="Cambria"/>
          <w:b/>
          <w:sz w:val="24"/>
          <w:szCs w:val="24"/>
          <w:u w:val="single"/>
        </w:rPr>
        <w:lastRenderedPageBreak/>
        <w:t>FAMILIARISATION</w:t>
      </w:r>
      <w:r>
        <w:rPr>
          <w:rFonts w:ascii="Cambria" w:hAnsi="Cambria"/>
          <w:b/>
          <w:sz w:val="24"/>
          <w:szCs w:val="24"/>
          <w:u w:val="single"/>
        </w:rPr>
        <w:t xml:space="preserve"> PROGRAMMES DURING FINANCIAL YEAR </w:t>
      </w:r>
      <w:r w:rsidR="00916CF1">
        <w:rPr>
          <w:rFonts w:ascii="Cambria" w:hAnsi="Cambria"/>
          <w:b/>
          <w:sz w:val="24"/>
          <w:szCs w:val="24"/>
          <w:u w:val="single"/>
        </w:rPr>
        <w:t>2018-19</w:t>
      </w:r>
    </w:p>
    <w:p w:rsidR="00982E93" w:rsidRDefault="00982E93" w:rsidP="00982E93">
      <w:pPr>
        <w:tabs>
          <w:tab w:val="left" w:pos="2783"/>
        </w:tabs>
        <w:jc w:val="both"/>
        <w:rPr>
          <w:rFonts w:ascii="Cambria" w:hAnsi="Cambria"/>
          <w:sz w:val="24"/>
          <w:szCs w:val="24"/>
        </w:rPr>
      </w:pPr>
      <w:r w:rsidRPr="00982E93">
        <w:rPr>
          <w:rFonts w:ascii="Cambria" w:hAnsi="Cambria"/>
          <w:sz w:val="24"/>
          <w:szCs w:val="24"/>
        </w:rPr>
        <w:t>Few</w:t>
      </w:r>
      <w:r>
        <w:rPr>
          <w:rFonts w:ascii="Cambria" w:hAnsi="Cambria"/>
          <w:sz w:val="24"/>
          <w:szCs w:val="24"/>
        </w:rPr>
        <w:t xml:space="preserve"> </w:t>
      </w:r>
      <w:r w:rsidRPr="00982E93">
        <w:rPr>
          <w:rFonts w:ascii="Cambria" w:hAnsi="Cambria"/>
          <w:sz w:val="24"/>
          <w:szCs w:val="24"/>
        </w:rPr>
        <w:t>programmes attended by th</w:t>
      </w:r>
      <w:r>
        <w:rPr>
          <w:rFonts w:ascii="Cambria" w:hAnsi="Cambria"/>
          <w:sz w:val="24"/>
          <w:szCs w:val="24"/>
        </w:rPr>
        <w:t>em covered the following areas:</w:t>
      </w:r>
    </w:p>
    <w:p w:rsidR="00982E93" w:rsidRDefault="00982E93" w:rsidP="00982E93">
      <w:pPr>
        <w:pStyle w:val="ListParagraph"/>
        <w:numPr>
          <w:ilvl w:val="0"/>
          <w:numId w:val="4"/>
        </w:numPr>
        <w:tabs>
          <w:tab w:val="left" w:pos="2783"/>
        </w:tabs>
        <w:jc w:val="both"/>
        <w:rPr>
          <w:rFonts w:ascii="Cambria" w:hAnsi="Cambria"/>
          <w:sz w:val="24"/>
          <w:szCs w:val="24"/>
        </w:rPr>
      </w:pPr>
      <w:r>
        <w:rPr>
          <w:rFonts w:ascii="Cambria" w:hAnsi="Cambria"/>
          <w:sz w:val="24"/>
          <w:szCs w:val="24"/>
        </w:rPr>
        <w:t>Presentation on overview on Secretarial Standard I</w:t>
      </w:r>
      <w:r w:rsidR="00916CF1">
        <w:rPr>
          <w:rFonts w:ascii="Cambria" w:hAnsi="Cambria"/>
          <w:sz w:val="24"/>
          <w:szCs w:val="24"/>
        </w:rPr>
        <w:t>V</w:t>
      </w:r>
      <w:r>
        <w:rPr>
          <w:rFonts w:ascii="Cambria" w:hAnsi="Cambria"/>
          <w:sz w:val="24"/>
          <w:szCs w:val="24"/>
        </w:rPr>
        <w:t xml:space="preserve"> </w:t>
      </w:r>
      <w:r w:rsidR="00D026B1">
        <w:rPr>
          <w:rFonts w:ascii="Cambria" w:hAnsi="Cambria"/>
          <w:sz w:val="24"/>
          <w:szCs w:val="24"/>
        </w:rPr>
        <w:t>and its applicability;</w:t>
      </w:r>
    </w:p>
    <w:p w:rsidR="0056525E" w:rsidRDefault="0056525E" w:rsidP="0056525E">
      <w:pPr>
        <w:pStyle w:val="ListParagraph"/>
        <w:numPr>
          <w:ilvl w:val="0"/>
          <w:numId w:val="4"/>
        </w:numPr>
        <w:rPr>
          <w:rFonts w:ascii="Cambria" w:hAnsi="Cambria"/>
          <w:sz w:val="24"/>
          <w:szCs w:val="24"/>
        </w:rPr>
      </w:pPr>
      <w:r w:rsidRPr="0056525E">
        <w:rPr>
          <w:rFonts w:ascii="Cambria" w:hAnsi="Cambria"/>
          <w:sz w:val="24"/>
          <w:szCs w:val="24"/>
        </w:rPr>
        <w:t>The Companies (Amendment) Act, 2017</w:t>
      </w:r>
      <w:r w:rsidR="00D026B1">
        <w:rPr>
          <w:rFonts w:ascii="Cambria" w:hAnsi="Cambria"/>
          <w:sz w:val="24"/>
          <w:szCs w:val="24"/>
        </w:rPr>
        <w:t>;</w:t>
      </w:r>
    </w:p>
    <w:p w:rsidR="00D026B1" w:rsidRDefault="00916CF1" w:rsidP="00B80858">
      <w:pPr>
        <w:pStyle w:val="ListParagraph"/>
        <w:numPr>
          <w:ilvl w:val="0"/>
          <w:numId w:val="4"/>
        </w:numPr>
        <w:jc w:val="both"/>
        <w:rPr>
          <w:rFonts w:ascii="Cambria" w:hAnsi="Cambria"/>
          <w:sz w:val="24"/>
          <w:szCs w:val="24"/>
        </w:rPr>
      </w:pPr>
      <w:r w:rsidRPr="00D026B1">
        <w:rPr>
          <w:rFonts w:ascii="Cambria" w:hAnsi="Cambria"/>
          <w:sz w:val="24"/>
          <w:szCs w:val="24"/>
        </w:rPr>
        <w:t>SEBI (ICDR) Regulations dated September 11, 2018</w:t>
      </w:r>
      <w:r w:rsidR="00D026B1">
        <w:rPr>
          <w:rFonts w:ascii="Cambria" w:hAnsi="Cambria"/>
          <w:sz w:val="24"/>
          <w:szCs w:val="24"/>
        </w:rPr>
        <w:t>;</w:t>
      </w:r>
    </w:p>
    <w:p w:rsidR="00D026B1" w:rsidRPr="00D026B1" w:rsidRDefault="00D026B1" w:rsidP="00D026B1">
      <w:pPr>
        <w:pStyle w:val="ListParagraph"/>
        <w:numPr>
          <w:ilvl w:val="0"/>
          <w:numId w:val="4"/>
        </w:numPr>
        <w:rPr>
          <w:rFonts w:ascii="Cambria" w:hAnsi="Cambria"/>
          <w:sz w:val="24"/>
          <w:szCs w:val="24"/>
        </w:rPr>
      </w:pPr>
      <w:r w:rsidRPr="00D026B1">
        <w:rPr>
          <w:rFonts w:ascii="Cambria" w:hAnsi="Cambria"/>
          <w:sz w:val="24"/>
          <w:szCs w:val="24"/>
        </w:rPr>
        <w:t>SEBI (LODR) Amendment Rules, 2018</w:t>
      </w:r>
      <w:r>
        <w:rPr>
          <w:rFonts w:ascii="Cambria" w:hAnsi="Cambria"/>
          <w:sz w:val="24"/>
          <w:szCs w:val="24"/>
        </w:rPr>
        <w:t>;</w:t>
      </w:r>
    </w:p>
    <w:p w:rsidR="00D026B1" w:rsidRPr="00D026B1" w:rsidRDefault="00D026B1" w:rsidP="00B80858">
      <w:pPr>
        <w:pStyle w:val="ListParagraph"/>
        <w:numPr>
          <w:ilvl w:val="0"/>
          <w:numId w:val="4"/>
        </w:numPr>
        <w:jc w:val="both"/>
        <w:rPr>
          <w:rFonts w:ascii="Cambria" w:hAnsi="Cambria"/>
          <w:sz w:val="24"/>
          <w:szCs w:val="24"/>
        </w:rPr>
      </w:pPr>
      <w:r w:rsidRPr="00D026B1">
        <w:rPr>
          <w:rFonts w:ascii="Cambria" w:hAnsi="Cambria"/>
          <w:sz w:val="24"/>
          <w:szCs w:val="24"/>
        </w:rPr>
        <w:t>Non-compliance with provisions of SEBI (Listing Obligations and Disclosure Requirements) Regulations, 2015 and Standard Operating Procedure for suspension and revocation of trading of specified securities.</w:t>
      </w:r>
    </w:p>
    <w:p w:rsidR="00982E93" w:rsidRPr="00982E93" w:rsidRDefault="00982E93" w:rsidP="0056525E">
      <w:pPr>
        <w:pStyle w:val="ListParagraph"/>
        <w:tabs>
          <w:tab w:val="left" w:pos="2783"/>
        </w:tabs>
        <w:jc w:val="both"/>
        <w:rPr>
          <w:rFonts w:ascii="Cambria" w:hAnsi="Cambria"/>
          <w:sz w:val="24"/>
          <w:szCs w:val="24"/>
        </w:rPr>
      </w:pPr>
    </w:p>
    <w:p w:rsidR="00440BD9" w:rsidRPr="00982E93" w:rsidRDefault="00440BD9" w:rsidP="00982E93">
      <w:pPr>
        <w:tabs>
          <w:tab w:val="left" w:pos="2783"/>
        </w:tabs>
        <w:jc w:val="both"/>
        <w:rPr>
          <w:rFonts w:ascii="Cambria" w:hAnsi="Cambria"/>
          <w:sz w:val="24"/>
          <w:szCs w:val="24"/>
        </w:rPr>
      </w:pPr>
      <w:r w:rsidRPr="00982E93">
        <w:rPr>
          <w:rFonts w:ascii="Cambria" w:hAnsi="Cambria"/>
          <w:sz w:val="24"/>
          <w:szCs w:val="24"/>
        </w:rPr>
        <w:t xml:space="preserve">The details of Independent Directors who attended the Familiarization Programme/s are as follows: </w:t>
      </w:r>
    </w:p>
    <w:tbl>
      <w:tblPr>
        <w:tblStyle w:val="TableGrid"/>
        <w:tblW w:w="9270" w:type="dxa"/>
        <w:tblInd w:w="85" w:type="dxa"/>
        <w:tblLayout w:type="fixed"/>
        <w:tblLook w:val="04A0" w:firstRow="1" w:lastRow="0" w:firstColumn="1" w:lastColumn="0" w:noHBand="0" w:noVBand="1"/>
      </w:tblPr>
      <w:tblGrid>
        <w:gridCol w:w="630"/>
        <w:gridCol w:w="2606"/>
        <w:gridCol w:w="1264"/>
        <w:gridCol w:w="1620"/>
        <w:gridCol w:w="1376"/>
        <w:gridCol w:w="1774"/>
      </w:tblGrid>
      <w:tr w:rsidR="00982E93" w:rsidRPr="009A6E32" w:rsidTr="00CE18EE">
        <w:tc>
          <w:tcPr>
            <w:tcW w:w="630" w:type="dxa"/>
          </w:tcPr>
          <w:p w:rsidR="00982E93" w:rsidRPr="009A6E32" w:rsidRDefault="009A6E32" w:rsidP="00440BD9">
            <w:pPr>
              <w:tabs>
                <w:tab w:val="left" w:pos="2783"/>
              </w:tabs>
              <w:jc w:val="both"/>
              <w:rPr>
                <w:rFonts w:ascii="Cambria" w:hAnsi="Cambria"/>
                <w:b/>
                <w:sz w:val="24"/>
                <w:szCs w:val="24"/>
              </w:rPr>
            </w:pPr>
            <w:r w:rsidRPr="009A6E32">
              <w:rPr>
                <w:rFonts w:ascii="Cambria" w:hAnsi="Cambria"/>
                <w:b/>
                <w:sz w:val="24"/>
                <w:szCs w:val="24"/>
              </w:rPr>
              <w:t>Sl. No.</w:t>
            </w:r>
          </w:p>
        </w:tc>
        <w:tc>
          <w:tcPr>
            <w:tcW w:w="2606" w:type="dxa"/>
          </w:tcPr>
          <w:p w:rsidR="00982E93" w:rsidRPr="009A6E32" w:rsidRDefault="00982E93" w:rsidP="00440BD9">
            <w:pPr>
              <w:tabs>
                <w:tab w:val="left" w:pos="2783"/>
              </w:tabs>
              <w:jc w:val="both"/>
              <w:rPr>
                <w:rFonts w:ascii="Cambria" w:hAnsi="Cambria"/>
                <w:b/>
                <w:sz w:val="24"/>
                <w:szCs w:val="24"/>
              </w:rPr>
            </w:pPr>
            <w:r w:rsidRPr="009A6E32">
              <w:rPr>
                <w:rFonts w:ascii="Cambria" w:hAnsi="Cambria"/>
                <w:b/>
                <w:sz w:val="24"/>
                <w:szCs w:val="24"/>
              </w:rPr>
              <w:t>Name of Independent Director</w:t>
            </w:r>
          </w:p>
        </w:tc>
        <w:tc>
          <w:tcPr>
            <w:tcW w:w="2884" w:type="dxa"/>
            <w:gridSpan w:val="2"/>
          </w:tcPr>
          <w:p w:rsidR="00982E93" w:rsidRPr="009A6E32" w:rsidRDefault="00982E93" w:rsidP="00CE18EE">
            <w:pPr>
              <w:tabs>
                <w:tab w:val="left" w:pos="2783"/>
              </w:tabs>
              <w:rPr>
                <w:rFonts w:ascii="Cambria" w:hAnsi="Cambria"/>
                <w:b/>
                <w:sz w:val="24"/>
                <w:szCs w:val="24"/>
              </w:rPr>
            </w:pPr>
            <w:r w:rsidRPr="009A6E32">
              <w:rPr>
                <w:rFonts w:ascii="Cambria" w:hAnsi="Cambria"/>
                <w:b/>
                <w:sz w:val="24"/>
                <w:szCs w:val="24"/>
              </w:rPr>
              <w:t>Number of Programmes/Meetings attended</w:t>
            </w:r>
          </w:p>
        </w:tc>
        <w:tc>
          <w:tcPr>
            <w:tcW w:w="3150" w:type="dxa"/>
            <w:gridSpan w:val="2"/>
          </w:tcPr>
          <w:p w:rsidR="00982E93" w:rsidRPr="009A6E32" w:rsidRDefault="00982E93" w:rsidP="00440BD9">
            <w:pPr>
              <w:tabs>
                <w:tab w:val="left" w:pos="2783"/>
              </w:tabs>
              <w:jc w:val="both"/>
              <w:rPr>
                <w:rFonts w:ascii="Cambria" w:hAnsi="Cambria"/>
                <w:b/>
                <w:sz w:val="24"/>
                <w:szCs w:val="24"/>
              </w:rPr>
            </w:pPr>
            <w:r w:rsidRPr="00CE18EE">
              <w:rPr>
                <w:rFonts w:ascii="Cambria" w:hAnsi="Cambria"/>
                <w:b/>
                <w:sz w:val="24"/>
                <w:szCs w:val="24"/>
              </w:rPr>
              <w:t xml:space="preserve">No. of hours spent in the Familiarization Programme/s attended </w:t>
            </w:r>
          </w:p>
        </w:tc>
      </w:tr>
      <w:tr w:rsidR="009A6E32" w:rsidRPr="009A6E32" w:rsidTr="009A3A6F">
        <w:tc>
          <w:tcPr>
            <w:tcW w:w="630" w:type="dxa"/>
            <w:tcBorders>
              <w:bottom w:val="single" w:sz="4" w:space="0" w:color="auto"/>
            </w:tcBorders>
          </w:tcPr>
          <w:p w:rsidR="009A6E32" w:rsidRPr="009A6E32" w:rsidRDefault="009A6E32" w:rsidP="009A6E32">
            <w:pPr>
              <w:tabs>
                <w:tab w:val="left" w:pos="2783"/>
              </w:tabs>
              <w:jc w:val="both"/>
              <w:rPr>
                <w:rFonts w:ascii="Cambria" w:hAnsi="Cambria"/>
                <w:sz w:val="24"/>
                <w:szCs w:val="24"/>
              </w:rPr>
            </w:pPr>
          </w:p>
        </w:tc>
        <w:tc>
          <w:tcPr>
            <w:tcW w:w="2606" w:type="dxa"/>
            <w:tcBorders>
              <w:bottom w:val="single" w:sz="4" w:space="0" w:color="auto"/>
            </w:tcBorders>
          </w:tcPr>
          <w:p w:rsidR="009A6E32" w:rsidRPr="009A6E32" w:rsidRDefault="009A6E32" w:rsidP="009A6E32">
            <w:pPr>
              <w:tabs>
                <w:tab w:val="left" w:pos="2783"/>
              </w:tabs>
              <w:jc w:val="both"/>
              <w:rPr>
                <w:rFonts w:ascii="Cambria" w:hAnsi="Cambria"/>
                <w:sz w:val="24"/>
                <w:szCs w:val="24"/>
              </w:rPr>
            </w:pPr>
          </w:p>
        </w:tc>
        <w:tc>
          <w:tcPr>
            <w:tcW w:w="1264" w:type="dxa"/>
            <w:tcBorders>
              <w:bottom w:val="single" w:sz="4" w:space="0" w:color="auto"/>
            </w:tcBorders>
          </w:tcPr>
          <w:p w:rsidR="009A6E32" w:rsidRPr="009A6E32" w:rsidRDefault="009A6E32" w:rsidP="00916CF1">
            <w:pPr>
              <w:tabs>
                <w:tab w:val="left" w:pos="2783"/>
              </w:tabs>
              <w:rPr>
                <w:rFonts w:ascii="Cambria" w:hAnsi="Cambria"/>
                <w:b/>
                <w:sz w:val="24"/>
                <w:szCs w:val="24"/>
              </w:rPr>
            </w:pPr>
            <w:r w:rsidRPr="009A6E32">
              <w:rPr>
                <w:rFonts w:ascii="Cambria" w:hAnsi="Cambria"/>
                <w:b/>
                <w:sz w:val="24"/>
                <w:szCs w:val="24"/>
              </w:rPr>
              <w:t xml:space="preserve">For F.Y. </w:t>
            </w:r>
            <w:r w:rsidR="00916CF1">
              <w:rPr>
                <w:rFonts w:ascii="Cambria" w:hAnsi="Cambria"/>
                <w:b/>
                <w:sz w:val="24"/>
                <w:szCs w:val="24"/>
              </w:rPr>
              <w:t>2018-19</w:t>
            </w:r>
          </w:p>
        </w:tc>
        <w:tc>
          <w:tcPr>
            <w:tcW w:w="1620" w:type="dxa"/>
            <w:tcBorders>
              <w:bottom w:val="single" w:sz="4" w:space="0" w:color="auto"/>
            </w:tcBorders>
          </w:tcPr>
          <w:p w:rsidR="009A6E32" w:rsidRPr="009A6E32" w:rsidRDefault="009A6E32" w:rsidP="00CE18EE">
            <w:pPr>
              <w:tabs>
                <w:tab w:val="left" w:pos="2783"/>
              </w:tabs>
              <w:rPr>
                <w:rFonts w:ascii="Cambria" w:hAnsi="Cambria"/>
                <w:b/>
                <w:sz w:val="24"/>
                <w:szCs w:val="24"/>
              </w:rPr>
            </w:pPr>
            <w:r w:rsidRPr="009A6E32">
              <w:rPr>
                <w:rFonts w:ascii="Cambria" w:hAnsi="Cambria"/>
                <w:b/>
                <w:sz w:val="24"/>
                <w:szCs w:val="24"/>
              </w:rPr>
              <w:t xml:space="preserve">Cumulative till </w:t>
            </w:r>
            <w:r w:rsidR="00916CF1">
              <w:rPr>
                <w:rFonts w:ascii="Cambria" w:hAnsi="Cambria"/>
                <w:b/>
                <w:sz w:val="24"/>
                <w:szCs w:val="24"/>
              </w:rPr>
              <w:t>2018-19</w:t>
            </w:r>
          </w:p>
        </w:tc>
        <w:tc>
          <w:tcPr>
            <w:tcW w:w="1376" w:type="dxa"/>
            <w:tcBorders>
              <w:bottom w:val="single" w:sz="4" w:space="0" w:color="auto"/>
            </w:tcBorders>
          </w:tcPr>
          <w:p w:rsidR="009A6E32" w:rsidRPr="009A6E32" w:rsidRDefault="009A6E32" w:rsidP="00CE18EE">
            <w:pPr>
              <w:tabs>
                <w:tab w:val="left" w:pos="2783"/>
              </w:tabs>
              <w:rPr>
                <w:rFonts w:ascii="Cambria" w:hAnsi="Cambria"/>
                <w:b/>
                <w:sz w:val="24"/>
                <w:szCs w:val="24"/>
              </w:rPr>
            </w:pPr>
            <w:r w:rsidRPr="00BE69AC">
              <w:rPr>
                <w:rFonts w:ascii="Cambria" w:hAnsi="Cambria"/>
                <w:b/>
                <w:sz w:val="24"/>
                <w:szCs w:val="24"/>
              </w:rPr>
              <w:t xml:space="preserve">For F.Y. </w:t>
            </w:r>
            <w:r w:rsidR="00916CF1">
              <w:rPr>
                <w:rFonts w:ascii="Cambria" w:hAnsi="Cambria"/>
                <w:b/>
                <w:sz w:val="24"/>
                <w:szCs w:val="24"/>
              </w:rPr>
              <w:t>2018-19</w:t>
            </w:r>
          </w:p>
        </w:tc>
        <w:tc>
          <w:tcPr>
            <w:tcW w:w="1774" w:type="dxa"/>
            <w:tcBorders>
              <w:bottom w:val="single" w:sz="4" w:space="0" w:color="auto"/>
            </w:tcBorders>
          </w:tcPr>
          <w:p w:rsidR="009A6E32" w:rsidRPr="009A6E32" w:rsidRDefault="009A6E32" w:rsidP="00CE18EE">
            <w:pPr>
              <w:tabs>
                <w:tab w:val="left" w:pos="2783"/>
              </w:tabs>
              <w:rPr>
                <w:rFonts w:ascii="Cambria" w:hAnsi="Cambria"/>
                <w:b/>
                <w:sz w:val="24"/>
                <w:szCs w:val="24"/>
              </w:rPr>
            </w:pPr>
            <w:r w:rsidRPr="00BE69AC">
              <w:rPr>
                <w:rFonts w:ascii="Cambria" w:hAnsi="Cambria"/>
                <w:b/>
                <w:sz w:val="24"/>
                <w:szCs w:val="24"/>
              </w:rPr>
              <w:t xml:space="preserve">Cumulative till </w:t>
            </w:r>
            <w:r w:rsidR="00916CF1">
              <w:rPr>
                <w:rFonts w:ascii="Cambria" w:hAnsi="Cambria"/>
                <w:b/>
                <w:sz w:val="24"/>
                <w:szCs w:val="24"/>
              </w:rPr>
              <w:t>2018-19</w:t>
            </w:r>
          </w:p>
        </w:tc>
      </w:tr>
      <w:tr w:rsidR="009A6E32" w:rsidRPr="009A6E32" w:rsidTr="009A6E32">
        <w:tc>
          <w:tcPr>
            <w:tcW w:w="630" w:type="dxa"/>
          </w:tcPr>
          <w:p w:rsidR="00982E93" w:rsidRPr="009A6E32" w:rsidRDefault="00982E93" w:rsidP="00982E93">
            <w:pPr>
              <w:tabs>
                <w:tab w:val="left" w:pos="2783"/>
              </w:tabs>
              <w:jc w:val="both"/>
              <w:rPr>
                <w:rFonts w:ascii="Cambria" w:hAnsi="Cambria"/>
                <w:sz w:val="24"/>
                <w:szCs w:val="24"/>
              </w:rPr>
            </w:pPr>
            <w:r w:rsidRPr="009A6E32">
              <w:rPr>
                <w:rFonts w:ascii="Cambria" w:hAnsi="Cambria"/>
                <w:sz w:val="24"/>
                <w:szCs w:val="24"/>
              </w:rPr>
              <w:t>1</w:t>
            </w:r>
          </w:p>
        </w:tc>
        <w:tc>
          <w:tcPr>
            <w:tcW w:w="2606" w:type="dxa"/>
          </w:tcPr>
          <w:p w:rsidR="00982E93" w:rsidRPr="009A6E32" w:rsidRDefault="0056525E" w:rsidP="00982E93">
            <w:pPr>
              <w:tabs>
                <w:tab w:val="left" w:pos="2783"/>
              </w:tabs>
              <w:jc w:val="both"/>
              <w:rPr>
                <w:rFonts w:ascii="Cambria" w:hAnsi="Cambria"/>
                <w:sz w:val="24"/>
                <w:szCs w:val="24"/>
              </w:rPr>
            </w:pPr>
            <w:r w:rsidRPr="009A6E32">
              <w:rPr>
                <w:rFonts w:ascii="Cambria" w:hAnsi="Cambria"/>
                <w:sz w:val="24"/>
                <w:szCs w:val="24"/>
              </w:rPr>
              <w:t>R. Nagarajan</w:t>
            </w:r>
          </w:p>
        </w:tc>
        <w:tc>
          <w:tcPr>
            <w:tcW w:w="1264" w:type="dxa"/>
          </w:tcPr>
          <w:p w:rsidR="00982E93" w:rsidRPr="009A6E32" w:rsidRDefault="009A6E32" w:rsidP="00982E93">
            <w:pPr>
              <w:tabs>
                <w:tab w:val="left" w:pos="2783"/>
              </w:tabs>
              <w:jc w:val="both"/>
              <w:rPr>
                <w:rFonts w:ascii="Cambria" w:hAnsi="Cambria"/>
                <w:sz w:val="24"/>
                <w:szCs w:val="24"/>
              </w:rPr>
            </w:pPr>
            <w:r>
              <w:rPr>
                <w:rFonts w:ascii="Cambria" w:hAnsi="Cambria"/>
                <w:sz w:val="24"/>
                <w:szCs w:val="24"/>
              </w:rPr>
              <w:t>2</w:t>
            </w:r>
          </w:p>
        </w:tc>
        <w:tc>
          <w:tcPr>
            <w:tcW w:w="1620" w:type="dxa"/>
          </w:tcPr>
          <w:p w:rsidR="00982E93" w:rsidRPr="009A6E32" w:rsidRDefault="00916CF1" w:rsidP="00982E93">
            <w:pPr>
              <w:tabs>
                <w:tab w:val="left" w:pos="2783"/>
              </w:tabs>
              <w:jc w:val="both"/>
              <w:rPr>
                <w:rFonts w:ascii="Cambria" w:hAnsi="Cambria"/>
                <w:sz w:val="24"/>
                <w:szCs w:val="24"/>
              </w:rPr>
            </w:pPr>
            <w:r>
              <w:rPr>
                <w:rFonts w:ascii="Cambria" w:hAnsi="Cambria"/>
                <w:sz w:val="24"/>
                <w:szCs w:val="24"/>
              </w:rPr>
              <w:t>5</w:t>
            </w:r>
          </w:p>
        </w:tc>
        <w:tc>
          <w:tcPr>
            <w:tcW w:w="1376" w:type="dxa"/>
          </w:tcPr>
          <w:p w:rsidR="00982E93" w:rsidRPr="009A6E32" w:rsidRDefault="009A6E32" w:rsidP="00982E93">
            <w:pPr>
              <w:tabs>
                <w:tab w:val="left" w:pos="2783"/>
              </w:tabs>
              <w:jc w:val="both"/>
              <w:rPr>
                <w:rFonts w:ascii="Cambria" w:hAnsi="Cambria"/>
                <w:sz w:val="24"/>
                <w:szCs w:val="24"/>
              </w:rPr>
            </w:pPr>
            <w:r>
              <w:rPr>
                <w:rFonts w:ascii="Cambria" w:hAnsi="Cambria"/>
                <w:sz w:val="24"/>
                <w:szCs w:val="24"/>
              </w:rPr>
              <w:t>4</w:t>
            </w:r>
          </w:p>
        </w:tc>
        <w:tc>
          <w:tcPr>
            <w:tcW w:w="1774" w:type="dxa"/>
          </w:tcPr>
          <w:p w:rsidR="00982E93" w:rsidRPr="009A6E32" w:rsidRDefault="00916CF1" w:rsidP="00982E93">
            <w:pPr>
              <w:tabs>
                <w:tab w:val="left" w:pos="2783"/>
              </w:tabs>
              <w:jc w:val="both"/>
              <w:rPr>
                <w:rFonts w:ascii="Cambria" w:hAnsi="Cambria"/>
                <w:sz w:val="24"/>
                <w:szCs w:val="24"/>
              </w:rPr>
            </w:pPr>
            <w:r>
              <w:rPr>
                <w:rFonts w:ascii="Cambria" w:hAnsi="Cambria"/>
                <w:sz w:val="24"/>
                <w:szCs w:val="24"/>
              </w:rPr>
              <w:t>10</w:t>
            </w:r>
          </w:p>
        </w:tc>
      </w:tr>
      <w:tr w:rsidR="009A6E32" w:rsidRPr="009A6E32" w:rsidTr="009A3A6F">
        <w:tc>
          <w:tcPr>
            <w:tcW w:w="630" w:type="dxa"/>
            <w:tcBorders>
              <w:bottom w:val="single" w:sz="4" w:space="0" w:color="auto"/>
            </w:tcBorders>
          </w:tcPr>
          <w:p w:rsidR="00982E93" w:rsidRPr="009A6E32" w:rsidRDefault="0056525E" w:rsidP="00982E93">
            <w:pPr>
              <w:tabs>
                <w:tab w:val="left" w:pos="2783"/>
              </w:tabs>
              <w:jc w:val="both"/>
              <w:rPr>
                <w:rFonts w:ascii="Cambria" w:hAnsi="Cambria"/>
                <w:sz w:val="24"/>
                <w:szCs w:val="24"/>
              </w:rPr>
            </w:pPr>
            <w:r w:rsidRPr="009A6E32">
              <w:rPr>
                <w:rFonts w:ascii="Cambria" w:hAnsi="Cambria"/>
                <w:sz w:val="24"/>
                <w:szCs w:val="24"/>
              </w:rPr>
              <w:t>2</w:t>
            </w:r>
          </w:p>
        </w:tc>
        <w:tc>
          <w:tcPr>
            <w:tcW w:w="2606" w:type="dxa"/>
            <w:tcBorders>
              <w:bottom w:val="single" w:sz="4" w:space="0" w:color="auto"/>
            </w:tcBorders>
          </w:tcPr>
          <w:p w:rsidR="00982E93" w:rsidRPr="009A6E32" w:rsidRDefault="0056525E" w:rsidP="00982E93">
            <w:pPr>
              <w:tabs>
                <w:tab w:val="left" w:pos="2783"/>
              </w:tabs>
              <w:jc w:val="both"/>
              <w:rPr>
                <w:rFonts w:ascii="Cambria" w:hAnsi="Cambria"/>
                <w:sz w:val="24"/>
                <w:szCs w:val="24"/>
              </w:rPr>
            </w:pPr>
            <w:r w:rsidRPr="009A6E32">
              <w:rPr>
                <w:rFonts w:ascii="Cambria" w:hAnsi="Cambria"/>
                <w:sz w:val="24"/>
                <w:szCs w:val="24"/>
              </w:rPr>
              <w:t>N.S. Kumar</w:t>
            </w:r>
          </w:p>
        </w:tc>
        <w:tc>
          <w:tcPr>
            <w:tcW w:w="1264" w:type="dxa"/>
            <w:tcBorders>
              <w:bottom w:val="single" w:sz="4" w:space="0" w:color="auto"/>
            </w:tcBorders>
          </w:tcPr>
          <w:p w:rsidR="00982E93" w:rsidRPr="009A6E32" w:rsidRDefault="009A6E32" w:rsidP="00982E93">
            <w:pPr>
              <w:tabs>
                <w:tab w:val="left" w:pos="2783"/>
              </w:tabs>
              <w:jc w:val="both"/>
              <w:rPr>
                <w:rFonts w:ascii="Cambria" w:hAnsi="Cambria"/>
                <w:sz w:val="24"/>
                <w:szCs w:val="24"/>
              </w:rPr>
            </w:pPr>
            <w:r>
              <w:rPr>
                <w:rFonts w:ascii="Cambria" w:hAnsi="Cambria"/>
                <w:sz w:val="24"/>
                <w:szCs w:val="24"/>
              </w:rPr>
              <w:t>2</w:t>
            </w:r>
          </w:p>
        </w:tc>
        <w:tc>
          <w:tcPr>
            <w:tcW w:w="1620" w:type="dxa"/>
            <w:tcBorders>
              <w:bottom w:val="single" w:sz="4" w:space="0" w:color="auto"/>
            </w:tcBorders>
          </w:tcPr>
          <w:p w:rsidR="00982E93" w:rsidRPr="009A6E32" w:rsidRDefault="00916CF1" w:rsidP="00982E93">
            <w:pPr>
              <w:tabs>
                <w:tab w:val="left" w:pos="2783"/>
              </w:tabs>
              <w:jc w:val="both"/>
              <w:rPr>
                <w:rFonts w:ascii="Cambria" w:hAnsi="Cambria"/>
                <w:sz w:val="24"/>
                <w:szCs w:val="24"/>
              </w:rPr>
            </w:pPr>
            <w:r>
              <w:rPr>
                <w:rFonts w:ascii="Cambria" w:hAnsi="Cambria"/>
                <w:sz w:val="24"/>
                <w:szCs w:val="24"/>
              </w:rPr>
              <w:t>5</w:t>
            </w:r>
          </w:p>
        </w:tc>
        <w:tc>
          <w:tcPr>
            <w:tcW w:w="1376" w:type="dxa"/>
            <w:tcBorders>
              <w:bottom w:val="single" w:sz="4" w:space="0" w:color="auto"/>
            </w:tcBorders>
          </w:tcPr>
          <w:p w:rsidR="00982E93" w:rsidRPr="009A6E32" w:rsidRDefault="009A6E32" w:rsidP="00982E93">
            <w:pPr>
              <w:tabs>
                <w:tab w:val="left" w:pos="2783"/>
              </w:tabs>
              <w:jc w:val="both"/>
              <w:rPr>
                <w:rFonts w:ascii="Cambria" w:hAnsi="Cambria"/>
                <w:sz w:val="24"/>
                <w:szCs w:val="24"/>
              </w:rPr>
            </w:pPr>
            <w:r>
              <w:rPr>
                <w:rFonts w:ascii="Cambria" w:hAnsi="Cambria"/>
                <w:sz w:val="24"/>
                <w:szCs w:val="24"/>
              </w:rPr>
              <w:t>4</w:t>
            </w:r>
          </w:p>
        </w:tc>
        <w:tc>
          <w:tcPr>
            <w:tcW w:w="1774" w:type="dxa"/>
            <w:tcBorders>
              <w:bottom w:val="single" w:sz="4" w:space="0" w:color="auto"/>
            </w:tcBorders>
          </w:tcPr>
          <w:p w:rsidR="00982E93" w:rsidRPr="009A6E32" w:rsidRDefault="00916CF1" w:rsidP="00982E93">
            <w:pPr>
              <w:tabs>
                <w:tab w:val="left" w:pos="2783"/>
              </w:tabs>
              <w:jc w:val="both"/>
              <w:rPr>
                <w:rFonts w:ascii="Cambria" w:hAnsi="Cambria"/>
                <w:sz w:val="24"/>
                <w:szCs w:val="24"/>
              </w:rPr>
            </w:pPr>
            <w:r>
              <w:rPr>
                <w:rFonts w:ascii="Cambria" w:hAnsi="Cambria"/>
                <w:sz w:val="24"/>
                <w:szCs w:val="24"/>
              </w:rPr>
              <w:t>10</w:t>
            </w:r>
          </w:p>
        </w:tc>
      </w:tr>
    </w:tbl>
    <w:p w:rsidR="00440BD9" w:rsidRPr="00982E93" w:rsidRDefault="00440BD9" w:rsidP="00440BD9">
      <w:pPr>
        <w:tabs>
          <w:tab w:val="left" w:pos="2783"/>
        </w:tabs>
        <w:jc w:val="both"/>
        <w:rPr>
          <w:rFonts w:ascii="Cambria" w:hAnsi="Cambria"/>
          <w:sz w:val="24"/>
          <w:szCs w:val="24"/>
        </w:rPr>
      </w:pPr>
    </w:p>
    <w:sectPr w:rsidR="00440BD9" w:rsidRPr="0098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F2D"/>
    <w:multiLevelType w:val="hybridMultilevel"/>
    <w:tmpl w:val="6C7C6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152C"/>
    <w:multiLevelType w:val="hybridMultilevel"/>
    <w:tmpl w:val="620AA43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72762"/>
    <w:multiLevelType w:val="hybridMultilevel"/>
    <w:tmpl w:val="03DED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6DD4"/>
    <w:multiLevelType w:val="hybridMultilevel"/>
    <w:tmpl w:val="40C0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B5576"/>
    <w:multiLevelType w:val="hybridMultilevel"/>
    <w:tmpl w:val="7DD864CC"/>
    <w:lvl w:ilvl="0" w:tplc="04090017">
      <w:start w:val="1"/>
      <w:numFmt w:val="lowerLetter"/>
      <w:lvlText w:val="%1)"/>
      <w:lvlJc w:val="left"/>
      <w:pPr>
        <w:ind w:left="720" w:hanging="360"/>
      </w:pPr>
    </w:lvl>
    <w:lvl w:ilvl="1" w:tplc="3E48A49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A1"/>
    <w:rsid w:val="00440BD9"/>
    <w:rsid w:val="00487E2E"/>
    <w:rsid w:val="0056525E"/>
    <w:rsid w:val="007B4CFD"/>
    <w:rsid w:val="00916CF1"/>
    <w:rsid w:val="00982E93"/>
    <w:rsid w:val="009A3A6F"/>
    <w:rsid w:val="009A6E32"/>
    <w:rsid w:val="00A856A2"/>
    <w:rsid w:val="00BF09A1"/>
    <w:rsid w:val="00CD62FF"/>
    <w:rsid w:val="00CE18EE"/>
    <w:rsid w:val="00D026B1"/>
    <w:rsid w:val="00E5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996DD-91E0-47E0-950F-779EB16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A1"/>
    <w:pPr>
      <w:ind w:left="720"/>
      <w:contextualSpacing/>
    </w:pPr>
  </w:style>
  <w:style w:type="table" w:styleId="TableGrid">
    <w:name w:val="Table Grid"/>
    <w:basedOn w:val="TableNormal"/>
    <w:uiPriority w:val="39"/>
    <w:rsid w:val="0044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99977">
      <w:bodyDiv w:val="1"/>
      <w:marLeft w:val="0"/>
      <w:marRight w:val="0"/>
      <w:marTop w:val="0"/>
      <w:marBottom w:val="0"/>
      <w:divBdr>
        <w:top w:val="none" w:sz="0" w:space="0" w:color="auto"/>
        <w:left w:val="none" w:sz="0" w:space="0" w:color="auto"/>
        <w:bottom w:val="none" w:sz="0" w:space="0" w:color="auto"/>
        <w:right w:val="none" w:sz="0" w:space="0" w:color="auto"/>
      </w:divBdr>
    </w:div>
    <w:div w:id="11676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2018-04-17T05:57:00Z</dcterms:created>
  <dcterms:modified xsi:type="dcterms:W3CDTF">2018-10-17T08:27:00Z</dcterms:modified>
</cp:coreProperties>
</file>